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CF58" w14:textId="77777777" w:rsidR="00C319E7" w:rsidRPr="00C233BD" w:rsidRDefault="00C319E7" w:rsidP="00C319E7">
      <w:pPr>
        <w:spacing w:before="80" w:after="40"/>
        <w:jc w:val="center"/>
        <w:rPr>
          <w:rFonts w:ascii="Arial Black" w:hAnsi="Arial Black"/>
        </w:rPr>
      </w:pPr>
      <w:bookmarkStart w:id="0" w:name="_Hlk231408764"/>
      <w:r w:rsidRPr="00C233BD">
        <w:rPr>
          <w:rFonts w:ascii="Arial Black" w:hAnsi="Arial Black"/>
          <w:b/>
          <w:bCs/>
          <w:color w:val="1F3A6E"/>
          <w:sz w:val="52"/>
          <w:szCs w:val="52"/>
        </w:rPr>
        <w:t>CMIT COMPUTER INSTITUTE</w:t>
      </w:r>
    </w:p>
    <w:p w14:paraId="09DA34A5" w14:textId="77777777" w:rsidR="00C319E7" w:rsidRPr="009838FA" w:rsidRDefault="00C319E7" w:rsidP="00C319E7">
      <w:pPr>
        <w:pBdr>
          <w:bottom w:val="single" w:sz="4" w:space="1" w:color="auto"/>
        </w:pBdr>
        <w:spacing w:after="8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9838FA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Building Bright Careers Since 1989</w:t>
      </w:r>
    </w:p>
    <w:bookmarkEnd w:id="0"/>
    <w:p w14:paraId="25AAA6AE" w14:textId="77777777" w:rsidR="00C319E7" w:rsidRPr="00C319E7" w:rsidRDefault="00C319E7" w:rsidP="00C319E7">
      <w:pPr>
        <w:spacing w:after="80"/>
        <w:jc w:val="center"/>
        <w:rPr>
          <w:rFonts w:ascii="Arial" w:hAnsi="Arial"/>
          <w:b/>
          <w:color w:val="1F4E79"/>
          <w:sz w:val="28"/>
          <w:szCs w:val="10"/>
          <w:u w:val="single"/>
        </w:rPr>
      </w:pPr>
    </w:p>
    <w:p w14:paraId="1C5C80D9" w14:textId="049D67FA" w:rsidR="00C62EC0" w:rsidRPr="00C319E7" w:rsidRDefault="00000000" w:rsidP="00C319E7">
      <w:pPr>
        <w:spacing w:after="80"/>
        <w:jc w:val="center"/>
        <w:rPr>
          <w:sz w:val="20"/>
          <w:szCs w:val="20"/>
          <w:u w:val="single"/>
        </w:rPr>
      </w:pPr>
      <w:r w:rsidRPr="00C319E7">
        <w:rPr>
          <w:rFonts w:ascii="Arial" w:hAnsi="Arial"/>
          <w:b/>
          <w:color w:val="1F4E79"/>
          <w:sz w:val="48"/>
          <w:szCs w:val="20"/>
          <w:u w:val="single"/>
        </w:rPr>
        <w:t>SAP FICO Course</w:t>
      </w:r>
    </w:p>
    <w:p w14:paraId="23C7CC3E" w14:textId="77777777" w:rsidR="00C62EC0" w:rsidRPr="00C319E7" w:rsidRDefault="00000000" w:rsidP="00C319E7">
      <w:pPr>
        <w:spacing w:after="480"/>
        <w:jc w:val="center"/>
        <w:rPr>
          <w:rFonts w:asciiTheme="majorHAnsi" w:hAnsiTheme="majorHAnsi" w:cstheme="majorHAnsi"/>
          <w:color w:val="C00000"/>
        </w:rPr>
      </w:pPr>
      <w:r w:rsidRPr="00C319E7">
        <w:rPr>
          <w:rFonts w:asciiTheme="majorHAnsi" w:hAnsiTheme="majorHAnsi" w:cstheme="majorHAnsi"/>
          <w:i/>
          <w:color w:val="C00000"/>
          <w:sz w:val="26"/>
        </w:rPr>
        <w:t>Comprehensive Blueprint &amp; Curriculum Specification</w:t>
      </w:r>
    </w:p>
    <w:p w14:paraId="03D19CD2" w14:textId="77777777" w:rsidR="00C62EC0" w:rsidRDefault="00000000">
      <w:pPr>
        <w:keepNext/>
        <w:spacing w:before="360" w:after="120"/>
      </w:pPr>
      <w:r>
        <w:rPr>
          <w:rFonts w:ascii="Arial" w:hAnsi="Arial"/>
          <w:b/>
          <w:color w:val="1F4E79"/>
          <w:sz w:val="32"/>
        </w:rPr>
        <w:t>1. Course Overview &amp; Core Architecture</w:t>
      </w:r>
    </w:p>
    <w:p w14:paraId="1B79E315" w14:textId="77777777" w:rsidR="00C62EC0" w:rsidRDefault="00000000">
      <w:pPr>
        <w:spacing w:after="120"/>
      </w:pPr>
      <w:r>
        <w:rPr>
          <w:rFonts w:ascii="Arial" w:hAnsi="Arial"/>
          <w:color w:val="262626"/>
          <w:sz w:val="21"/>
        </w:rPr>
        <w:t>SAP FICO is an essential enterprise functional element within the SAP ERP framework, enabling organizations to capture, configure, and maintain a highly granular and rigorous audit trail of financial transaction data. The module serves as the primary engine for external compliance reporting, internal management analysis, and strategic business forecasting.</w:t>
      </w:r>
    </w:p>
    <w:p w14:paraId="2E095859" w14:textId="77777777" w:rsidR="00C62EC0" w:rsidRDefault="00000000">
      <w:pPr>
        <w:spacing w:after="120"/>
      </w:pPr>
      <w:r>
        <w:rPr>
          <w:rFonts w:ascii="Arial" w:hAnsi="Arial"/>
          <w:color w:val="262626"/>
          <w:sz w:val="21"/>
        </w:rPr>
        <w:t>The framework is seamlessly divided into two interdependent pillars, which historically operated independently but are now unified into a cohesive enterprise solution:</w:t>
      </w:r>
    </w:p>
    <w:p w14:paraId="378F1F41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t xml:space="preserve">SAP Financial Accounting (FI): </w:t>
      </w:r>
      <w:r>
        <w:rPr>
          <w:rFonts w:ascii="Arial" w:hAnsi="Arial"/>
          <w:color w:val="262626"/>
          <w:sz w:val="21"/>
        </w:rPr>
        <w:t>Focuses on overall external financial accounting, statutory asset tracking, ledger governance, and the generation of standardized financial statements (Balance Sheet, P&amp;L) for external stakeholders and regulatory bodies.</w:t>
      </w:r>
    </w:p>
    <w:p w14:paraId="08AEE10D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t xml:space="preserve">SAP Controlling (CO): </w:t>
      </w:r>
      <w:r>
        <w:rPr>
          <w:rFonts w:ascii="Arial" w:hAnsi="Arial"/>
          <w:color w:val="262626"/>
          <w:sz w:val="21"/>
        </w:rPr>
        <w:t>Concentrates internal managerial accounting on monitoring, planning, and optimizing organizational costs, overheads, and profit margins to support effective managerial decision-making.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5"/>
      </w:tblGrid>
      <w:tr w:rsidR="00C62EC0" w14:paraId="67261C54" w14:textId="77777777">
        <w:trPr>
          <w:jc w:val="center"/>
        </w:trPr>
        <w:tc>
          <w:tcPr>
            <w:tcW w:w="9360" w:type="dxa"/>
            <w:tcBorders>
              <w:left w:val="single" w:sz="36" w:space="0" w:color="1F4E7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7FC5A6F" w14:textId="77777777" w:rsidR="00C62EC0" w:rsidRDefault="00000000">
            <w:pPr>
              <w:spacing w:before="80" w:after="80"/>
            </w:pPr>
            <w:r>
              <w:rPr>
                <w:b/>
                <w:color w:val="1F4E79"/>
              </w:rPr>
              <w:t>Key Course Metrics:</w:t>
            </w:r>
            <w:r>
              <w:rPr>
                <w:b/>
                <w:color w:val="1F4E79"/>
              </w:rPr>
              <w:br/>
            </w:r>
            <w:r>
              <w:rPr>
                <w:color w:val="262626"/>
                <w:sz w:val="20"/>
              </w:rPr>
              <w:t>• Training Duration: 60 Hours of Intensive Practical Hands-on Training</w:t>
            </w:r>
            <w:r>
              <w:rPr>
                <w:color w:val="262626"/>
                <w:sz w:val="20"/>
              </w:rPr>
              <w:br/>
              <w:t>• Market Valuation / Salary Range: ₹3.00 Lac P.a. to ₹12.00 Lac P.a.</w:t>
            </w:r>
            <w:r>
              <w:rPr>
                <w:color w:val="262626"/>
                <w:sz w:val="20"/>
              </w:rPr>
              <w:br/>
              <w:t>• Training Modalities: Available both Online &amp; Offline (Premium locations in Pune &amp; Mumbai)</w:t>
            </w:r>
          </w:p>
        </w:tc>
      </w:tr>
    </w:tbl>
    <w:p w14:paraId="3C19B1B6" w14:textId="77777777" w:rsidR="00C62EC0" w:rsidRDefault="00C62EC0">
      <w:pPr>
        <w:spacing w:after="240"/>
      </w:pPr>
    </w:p>
    <w:p w14:paraId="40C35BDF" w14:textId="77777777" w:rsidR="00C62EC0" w:rsidRDefault="00000000">
      <w:pPr>
        <w:keepNext/>
        <w:spacing w:before="360" w:after="120"/>
      </w:pPr>
      <w:r>
        <w:rPr>
          <w:rFonts w:ascii="Arial" w:hAnsi="Arial"/>
          <w:b/>
          <w:color w:val="1F4E79"/>
          <w:sz w:val="32"/>
        </w:rPr>
        <w:t>2. Strategic Value Proposition: Why Learn SAP FICO?</w:t>
      </w:r>
    </w:p>
    <w:p w14:paraId="21A8622A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t xml:space="preserve">Global Demand Fluency: </w:t>
      </w:r>
      <w:r>
        <w:rPr>
          <w:rFonts w:ascii="Arial" w:hAnsi="Arial"/>
          <w:color w:val="262626"/>
          <w:sz w:val="21"/>
        </w:rPr>
        <w:t xml:space="preserve">High-Demand Career Path: Today, major multinational corporations (MNCs) and </w:t>
      </w:r>
      <w:proofErr w:type="gramStart"/>
      <w:r>
        <w:rPr>
          <w:rFonts w:ascii="Arial" w:hAnsi="Arial"/>
          <w:color w:val="262626"/>
          <w:sz w:val="21"/>
        </w:rPr>
        <w:t>large scale</w:t>
      </w:r>
      <w:proofErr w:type="gramEnd"/>
      <w:r>
        <w:rPr>
          <w:rFonts w:ascii="Arial" w:hAnsi="Arial"/>
          <w:color w:val="262626"/>
          <w:sz w:val="21"/>
        </w:rPr>
        <w:t xml:space="preserve"> enterprises prioritize hiring certified SAP specialists. Due to the highly technical nature of enterprise financial engineering, the supply of qualified experts is limited, driving consistent market demand.</w:t>
      </w:r>
    </w:p>
    <w:p w14:paraId="53CAAB2A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t xml:space="preserve">Operational Rigor: </w:t>
      </w:r>
      <w:r>
        <w:rPr>
          <w:rFonts w:ascii="Arial" w:hAnsi="Arial"/>
          <w:color w:val="262626"/>
          <w:sz w:val="21"/>
        </w:rPr>
        <w:t>The software structures and streamlines complex financial systems across diverse verticals. Completing this training equips professionals to stay deeply competitive within the evolving IT and global corporate market.</w:t>
      </w:r>
    </w:p>
    <w:p w14:paraId="21155628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lastRenderedPageBreak/>
        <w:t xml:space="preserve">Professional Reputation: </w:t>
      </w:r>
      <w:r>
        <w:rPr>
          <w:rFonts w:ascii="Arial" w:hAnsi="Arial"/>
          <w:color w:val="262626"/>
          <w:sz w:val="21"/>
        </w:rPr>
        <w:t>Earning a credible SAP certification validates an individual's capabilities, significantly elevating professional prestige and resume standing.</w:t>
      </w:r>
    </w:p>
    <w:p w14:paraId="4A970596" w14:textId="77777777" w:rsidR="00C62EC0" w:rsidRDefault="00000000">
      <w:pPr>
        <w:pStyle w:val="ListBullet"/>
        <w:spacing w:after="60"/>
      </w:pPr>
      <w:r>
        <w:rPr>
          <w:rFonts w:ascii="Arial" w:hAnsi="Arial"/>
          <w:b/>
          <w:color w:val="262626"/>
          <w:sz w:val="21"/>
        </w:rPr>
        <w:t xml:space="preserve">Robust Versatility: </w:t>
      </w:r>
      <w:r>
        <w:rPr>
          <w:rFonts w:ascii="Arial" w:hAnsi="Arial"/>
          <w:color w:val="262626"/>
          <w:sz w:val="21"/>
        </w:rPr>
        <w:t>The module features adaptive sub-components that seamlessly address versatile financial processes including General Ledger Accounting, Accounts Payables, Accounts Receivables, Bank Accounting, and Asset Lifecycle Management.</w:t>
      </w:r>
    </w:p>
    <w:p w14:paraId="1EBE2928" w14:textId="77777777" w:rsidR="00C62EC0" w:rsidRDefault="00000000">
      <w:pPr>
        <w:keepNext/>
        <w:spacing w:before="360" w:after="120"/>
      </w:pPr>
      <w:r>
        <w:rPr>
          <w:rFonts w:ascii="Arial" w:hAnsi="Arial"/>
          <w:b/>
          <w:color w:val="1F4E79"/>
          <w:sz w:val="32"/>
        </w:rPr>
        <w:t>3. Course Target Audience &amp; Eligibility</w:t>
      </w:r>
    </w:p>
    <w:p w14:paraId="003D98F6" w14:textId="77777777" w:rsidR="00C62EC0" w:rsidRDefault="00000000">
      <w:pPr>
        <w:spacing w:after="120"/>
      </w:pPr>
      <w:r>
        <w:rPr>
          <w:rFonts w:ascii="Arial" w:hAnsi="Arial"/>
          <w:color w:val="262626"/>
          <w:sz w:val="21"/>
        </w:rPr>
        <w:t>The curriculum has been architected to accommodate a diverse spectrum of analytical professionals looking to transition into high-yield enterprise consulting roles:</w:t>
      </w:r>
    </w:p>
    <w:p w14:paraId="5621B609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Freshers and ambitious graduates seeking a robust, future-proof career entry point into IT/Finance.</w:t>
      </w:r>
    </w:p>
    <w:p w14:paraId="6651589A" w14:textId="77777777" w:rsidR="00C62EC0" w:rsidRDefault="00000000">
      <w:pPr>
        <w:pStyle w:val="ListBullet"/>
        <w:spacing w:after="60"/>
      </w:pPr>
      <w:proofErr w:type="gramStart"/>
      <w:r>
        <w:rPr>
          <w:rFonts w:ascii="Arial" w:hAnsi="Arial"/>
          <w:color w:val="262626"/>
          <w:sz w:val="21"/>
        </w:rPr>
        <w:t>B.Com</w:t>
      </w:r>
      <w:proofErr w:type="gramEnd"/>
      <w:r>
        <w:rPr>
          <w:rFonts w:ascii="Arial" w:hAnsi="Arial"/>
          <w:color w:val="262626"/>
          <w:sz w:val="21"/>
        </w:rPr>
        <w:t xml:space="preserve"> / BBA / BAF / M.Com graduates aiming to transition from standard accounting to system architecture.</w:t>
      </w:r>
    </w:p>
    <w:p w14:paraId="59C0F24C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 xml:space="preserve">Engineers (BE / </w:t>
      </w:r>
      <w:proofErr w:type="spellStart"/>
      <w:proofErr w:type="gramStart"/>
      <w:r>
        <w:rPr>
          <w:rFonts w:ascii="Arial" w:hAnsi="Arial"/>
          <w:color w:val="262626"/>
          <w:sz w:val="21"/>
        </w:rPr>
        <w:t>B.Tech</w:t>
      </w:r>
      <w:proofErr w:type="spellEnd"/>
      <w:proofErr w:type="gramEnd"/>
      <w:r>
        <w:rPr>
          <w:rFonts w:ascii="Arial" w:hAnsi="Arial"/>
          <w:color w:val="262626"/>
          <w:sz w:val="21"/>
        </w:rPr>
        <w:t>) and IT Professionals (B.Sc. IT / MCA) looking to enter functional ERP consulting.</w:t>
      </w:r>
    </w:p>
    <w:p w14:paraId="5A1C2C1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Post-graduates, financial analysts, and corporate accountants seeking career advancement.</w:t>
      </w:r>
    </w:p>
    <w:p w14:paraId="05D4706F" w14:textId="77777777" w:rsidR="00C62EC0" w:rsidRDefault="00000000">
      <w:pPr>
        <w:keepNext/>
        <w:spacing w:before="360" w:after="120"/>
      </w:pPr>
      <w:r>
        <w:rPr>
          <w:rFonts w:ascii="Arial" w:hAnsi="Arial"/>
          <w:b/>
          <w:color w:val="1F4E79"/>
          <w:sz w:val="32"/>
        </w:rPr>
        <w:t>4. Comprehensive Training Curriculum</w:t>
      </w:r>
    </w:p>
    <w:p w14:paraId="41EA1263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1: Introduction to SAP FICO Ecosystem</w:t>
      </w:r>
    </w:p>
    <w:p w14:paraId="4BD0456B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Foundational Concepts: Introduction to Enterprise Resource Planning (ERP) frameworks</w:t>
      </w:r>
    </w:p>
    <w:p w14:paraId="1003F177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Competitive Edge: Technical and strategic advantages of SAP over alternative ERP software packages</w:t>
      </w:r>
    </w:p>
    <w:p w14:paraId="025322AC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Deployment Architecture: SAP Implementation Methodologies (ASAP / Activate)</w:t>
      </w:r>
    </w:p>
    <w:p w14:paraId="4A65DC0D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Cross-Functional Overview: Mapping touchpoints across distinct operational SAP modules</w:t>
      </w:r>
    </w:p>
    <w:p w14:paraId="40B7C813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Enterprise Vocabulary: Mastery of common SAP terminologies and technical acronyms</w:t>
      </w:r>
    </w:p>
    <w:p w14:paraId="65835A37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Legacy &amp; Modern Architectures: Deep introduction to SAP R/3 and evolution into modern environments</w:t>
      </w:r>
    </w:p>
    <w:p w14:paraId="7B28DD99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2: Financial Accounting Basic Setup (Enterprise Backbone)</w:t>
      </w:r>
    </w:p>
    <w:p w14:paraId="69CA2CD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Organizational Blueprints: Setting up the foundational Enterprise Structure within the SAP ecosystem</w:t>
      </w:r>
    </w:p>
    <w:p w14:paraId="0C26400C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Company Code Architecture: Customizing legal entity definitions for independent accounting units</w:t>
      </w:r>
    </w:p>
    <w:p w14:paraId="3273B1F9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Operational Concern &amp; Controlling Area: Structuring managerial reporting and segment accounting nodes</w:t>
      </w:r>
    </w:p>
    <w:p w14:paraId="1B7F7E5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Chart of Accounts (CoA): Designing global, operational, and country-specific CoA parameters</w:t>
      </w:r>
    </w:p>
    <w:p w14:paraId="051EA42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Segment Definitions: Establishing Business Areas, Functional Areas, and Credit Controlling parameters</w:t>
      </w:r>
    </w:p>
    <w:p w14:paraId="44BF4B9E" w14:textId="77777777" w:rsidR="00C319E7" w:rsidRDefault="00C319E7">
      <w:pPr>
        <w:keepNext/>
        <w:spacing w:before="240" w:after="80"/>
        <w:rPr>
          <w:rFonts w:ascii="Arial" w:hAnsi="Arial"/>
          <w:b/>
          <w:color w:val="595959"/>
          <w:sz w:val="24"/>
        </w:rPr>
      </w:pPr>
    </w:p>
    <w:p w14:paraId="038B3546" w14:textId="3C849119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3: General Ledger (GL) Accounting Architecture</w:t>
      </w:r>
    </w:p>
    <w:p w14:paraId="0E876326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Master Data Frameworks: In-depth setup of Account Groups and Master Data significance rules</w:t>
      </w:r>
    </w:p>
    <w:p w14:paraId="7AF35C6D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Transactional Controls: Document Types, Number Ranges, and Posting Keys configuration</w:t>
      </w:r>
    </w:p>
    <w:p w14:paraId="652DC79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Temporal Governance: Customizing Fiscal Year Variants (FYV) and Posting Period Variants (PPV)</w:t>
      </w:r>
    </w:p>
    <w:p w14:paraId="284DFD30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UI Governance: Customizing Field Status Variants (FSV) to control field inputs</w:t>
      </w:r>
    </w:p>
    <w:p w14:paraId="52F6E969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Global Currency Management: Exchange rates, local currency, and hard/group currency rules</w:t>
      </w:r>
    </w:p>
    <w:p w14:paraId="65654C37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Advanced Ledger Functions: Reconciliation Accounts, Retained Earnings configuration, and Accrual/Deferral postings</w:t>
      </w:r>
    </w:p>
    <w:p w14:paraId="7A29C97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Process Optimization: Parked Documents, Fast Data Entry optimization techniques, and Open-Item Clearing</w:t>
      </w:r>
    </w:p>
    <w:p w14:paraId="30230B96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Financial Close Controls: Defining Financial Statement Versions (FSV), Balance Carry Forwards, and Foreign Exchange (Forex) Revaluation</w:t>
      </w:r>
    </w:p>
    <w:p w14:paraId="4B80513C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Ledger Governance: Customizing Substitution and Validation rules; generating native GL reporting</w:t>
      </w:r>
    </w:p>
    <w:p w14:paraId="14B9392D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4: Accounts Receivable (AR) Sub-ledger Integration</w:t>
      </w:r>
    </w:p>
    <w:p w14:paraId="20D326AD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Sub-ledger Architecture: Introducing Customer Account Groups and explicit number range allocations</w:t>
      </w:r>
    </w:p>
    <w:p w14:paraId="5F7F7E95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Customer Master Data: Configuration, field groups, and business partner significance</w:t>
      </w:r>
    </w:p>
    <w:p w14:paraId="3927FBC3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Commercial Controls: Customer Payment Terms, cash discounts, down payments, and Bills Receivable</w:t>
      </w:r>
    </w:p>
    <w:p w14:paraId="4DF2355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Credit Risk Governance: Setting up automated Dunning programs to handle overdue client receivables</w:t>
      </w:r>
    </w:p>
    <w:p w14:paraId="5FF4373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Cross-Module Integration: Deep dive into the standard Order-to-Cash (O2C) workflow and FI-SD (Sales &amp; Distribution) integration</w:t>
      </w:r>
    </w:p>
    <w:p w14:paraId="36F7548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Billing &amp; Credit Controls: Managing FI/SD Invoices, Credit Memos, customer clearings, and centralized Credit Management systems</w:t>
      </w:r>
    </w:p>
    <w:p w14:paraId="4972C28B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5: Accounts Payable (AP) Sub-ledger Integration &amp; Banking</w:t>
      </w:r>
    </w:p>
    <w:p w14:paraId="529E1FDE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Procurement Sub-ledger: Customizing Vendor Account Groups and associated number ranges</w:t>
      </w:r>
    </w:p>
    <w:p w14:paraId="17396B88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Vendor Master Records: Field governance, purchasing views, and reconciliation properties</w:t>
      </w:r>
    </w:p>
    <w:p w14:paraId="10DEF8C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Payment Terms &amp; Automation: Advanced Payment Terms configuration and full setup of the Automatic Payment Program (APP)</w:t>
      </w:r>
    </w:p>
    <w:p w14:paraId="54F9CE5E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Supply Chain Alignment: Comprehensive breakdown of the Procure-to-Pay (P2P) lifecycle and FI-MM (Materials Management) integration</w:t>
      </w:r>
    </w:p>
    <w:p w14:paraId="0E6EC637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Clearing Governance: Handling Goods Receipt/Invoice Receipt (GR/IR) accounts, Partial, and Residual Payments</w:t>
      </w:r>
    </w:p>
    <w:p w14:paraId="4AB6EC32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Cash &amp; Liquidity Management: Establishing Banking setups and setting up automated Bank Reconciliation Statements (BRS)</w:t>
      </w:r>
    </w:p>
    <w:p w14:paraId="66900730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lastRenderedPageBreak/>
        <w:t>Module 6: Fixed Asset Accounting Lifecycle</w:t>
      </w:r>
    </w:p>
    <w:p w14:paraId="3E70B226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Asset Frameworks: Configuring Chart of Depreciation, Asset Classes, and Depreciation Areas</w:t>
      </w:r>
    </w:p>
    <w:p w14:paraId="046F435C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Master Records: Asset Master Data lifecycle management (Create, Change, Display, Block, Unblock)</w:t>
      </w:r>
    </w:p>
    <w:p w14:paraId="3B77D4F2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Operational Postings: Asset Acquisition/Purchase, Asset Sales, Scrapping, Transfers, and Retirement</w:t>
      </w:r>
    </w:p>
    <w:p w14:paraId="7F312E6A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Capitalization Controls: Tracking Assets under Construction (</w:t>
      </w:r>
      <w:proofErr w:type="spellStart"/>
      <w:r>
        <w:rPr>
          <w:rFonts w:ascii="Arial" w:hAnsi="Arial"/>
          <w:color w:val="262626"/>
          <w:sz w:val="21"/>
        </w:rPr>
        <w:t>AuC</w:t>
      </w:r>
      <w:proofErr w:type="spellEnd"/>
      <w:r>
        <w:rPr>
          <w:rFonts w:ascii="Arial" w:hAnsi="Arial"/>
          <w:color w:val="262626"/>
          <w:sz w:val="21"/>
        </w:rPr>
        <w:t>) and executing settlement to final fixed assets</w:t>
      </w:r>
    </w:p>
    <w:p w14:paraId="1CCE84EE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Value Adjustments: Configuring Depreciation Keys and executing systematic automated Depreciation Runs</w:t>
      </w:r>
    </w:p>
    <w:p w14:paraId="39CE7202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7: Enterprise Taxation Procedures</w:t>
      </w:r>
    </w:p>
    <w:p w14:paraId="3FF87E82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Tax Systems Architecture: Customizing regional and country-specific Tax Procedures</w:t>
      </w:r>
    </w:p>
    <w:p w14:paraId="3B1A1B84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Transactional Tax: Setup and configuration of Input and Output tax codes and logic</w:t>
      </w:r>
    </w:p>
    <w:p w14:paraId="739E6C12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Source Taxation: Customizing Withholding Tax (TDS) parameters and master data flags</w:t>
      </w:r>
    </w:p>
    <w:p w14:paraId="1FA4D591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Compliance Reporting: Running native tax ledger reports for audit readiness</w:t>
      </w:r>
    </w:p>
    <w:p w14:paraId="11A1EC3A" w14:textId="77777777" w:rsidR="00C62EC0" w:rsidRDefault="00000000">
      <w:pPr>
        <w:keepNext/>
        <w:spacing w:before="240" w:after="80"/>
      </w:pPr>
      <w:r>
        <w:rPr>
          <w:rFonts w:ascii="Arial" w:hAnsi="Arial"/>
          <w:b/>
          <w:color w:val="595959"/>
          <w:sz w:val="24"/>
        </w:rPr>
        <w:t>Module 8: Month-End Close, Year-End Close &amp; Controlling (CO) Foundation</w:t>
      </w:r>
    </w:p>
    <w:p w14:paraId="0BF02AAA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Period-End Rigor: Execution checklists for Month-End Closing across sub-ledgers and cross-tower modules</w:t>
      </w:r>
    </w:p>
    <w:p w14:paraId="17A17B13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Year-End Governance: Annual balance carry-forwards and financial report generation</w:t>
      </w:r>
    </w:p>
    <w:p w14:paraId="28FB4E09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Cost Center Accounting (CO-OM): Designing Master Data, Cost Center Categories, Activity Types, and Statistical Key Figures</w:t>
      </w:r>
    </w:p>
    <w:p w14:paraId="4BED89B5" w14:textId="77777777" w:rsidR="00C62EC0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 xml:space="preserve">Overhead Allocations: Configuring Period-End Cost </w:t>
      </w:r>
      <w:proofErr w:type="spellStart"/>
      <w:r>
        <w:rPr>
          <w:rFonts w:ascii="Arial" w:hAnsi="Arial"/>
          <w:color w:val="262626"/>
          <w:sz w:val="21"/>
        </w:rPr>
        <w:t>Repostings</w:t>
      </w:r>
      <w:proofErr w:type="spellEnd"/>
      <w:r>
        <w:rPr>
          <w:rFonts w:ascii="Arial" w:hAnsi="Arial"/>
          <w:color w:val="262626"/>
          <w:sz w:val="21"/>
        </w:rPr>
        <w:t>, Distribution Methods, Assessment Allocations, and Activity Allocations</w:t>
      </w:r>
    </w:p>
    <w:p w14:paraId="72C8C7CE" w14:textId="77777777" w:rsidR="00C62EC0" w:rsidRPr="00C319E7" w:rsidRDefault="00000000">
      <w:pPr>
        <w:pStyle w:val="ListBullet"/>
        <w:spacing w:after="60"/>
      </w:pPr>
      <w:r>
        <w:rPr>
          <w:rFonts w:ascii="Arial" w:hAnsi="Arial"/>
          <w:color w:val="262626"/>
          <w:sz w:val="21"/>
        </w:rPr>
        <w:t>Profit Center Accounting (CO-PCA): Basic settings, Master Data creation, strategic Planning models, and Actual Posting flows</w:t>
      </w:r>
    </w:p>
    <w:p w14:paraId="69603FEC" w14:textId="77777777" w:rsidR="00C319E7" w:rsidRDefault="00C319E7" w:rsidP="00C319E7">
      <w:pPr>
        <w:pStyle w:val="ListBullet"/>
        <w:numPr>
          <w:ilvl w:val="0"/>
          <w:numId w:val="0"/>
        </w:numPr>
        <w:spacing w:after="60"/>
        <w:ind w:left="360" w:hanging="360"/>
        <w:rPr>
          <w:rFonts w:ascii="Arial" w:hAnsi="Arial"/>
          <w:color w:val="262626"/>
          <w:sz w:val="2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C319E7" w14:paraId="694B0E76" w14:textId="77777777" w:rsidTr="0015110F">
        <w:tc>
          <w:tcPr>
            <w:tcW w:w="0" w:type="auto"/>
            <w:gridSpan w:val="2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F3A6E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469550D6" w14:textId="77777777" w:rsidR="00C319E7" w:rsidRDefault="00C319E7" w:rsidP="0015110F">
            <w:bookmarkStart w:id="1" w:name="_Hlk231408808"/>
            <w:r>
              <w:rPr>
                <w:b/>
                <w:bCs/>
                <w:color w:val="FFFFFF"/>
              </w:rPr>
              <w:t>Course At a Glance</w:t>
            </w:r>
          </w:p>
        </w:tc>
      </w:tr>
      <w:tr w:rsidR="00C319E7" w14:paraId="101E80B0" w14:textId="77777777" w:rsidTr="0015110F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8F0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F76B435" w14:textId="77777777" w:rsidR="00C319E7" w:rsidRDefault="00C319E7" w:rsidP="0015110F">
            <w:r>
              <w:rPr>
                <w:b/>
                <w:bCs/>
                <w:color w:val="1F3A6E"/>
              </w:rPr>
              <w:t>Duration</w:t>
            </w:r>
          </w:p>
        </w:tc>
        <w:tc>
          <w:tcPr>
            <w:tcW w:w="65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7EC5250" w14:textId="5AC62148" w:rsidR="00C319E7" w:rsidRDefault="00C319E7" w:rsidP="0015110F">
            <w:r>
              <w:t>3 - 4 Months (60 Contact Hours)</w:t>
            </w:r>
          </w:p>
        </w:tc>
      </w:tr>
      <w:tr w:rsidR="00C319E7" w14:paraId="7CB120FE" w14:textId="77777777" w:rsidTr="0015110F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8F0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D3B8732" w14:textId="77777777" w:rsidR="00C319E7" w:rsidRDefault="00C319E7" w:rsidP="0015110F">
            <w:r>
              <w:rPr>
                <w:b/>
                <w:bCs/>
                <w:color w:val="1F3A6E"/>
              </w:rPr>
              <w:t>Tuition Fees</w:t>
            </w:r>
          </w:p>
        </w:tc>
        <w:tc>
          <w:tcPr>
            <w:tcW w:w="65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FBE9042" w14:textId="1E2C96CD" w:rsidR="00C319E7" w:rsidRDefault="00013366" w:rsidP="0015110F">
            <w:r>
              <w:t xml:space="preserve">Enquire </w:t>
            </w:r>
          </w:p>
        </w:tc>
      </w:tr>
      <w:tr w:rsidR="00C319E7" w14:paraId="024A465B" w14:textId="77777777" w:rsidTr="0015110F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8F0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24BBB91" w14:textId="77777777" w:rsidR="00C319E7" w:rsidRDefault="00C319E7" w:rsidP="0015110F">
            <w:r>
              <w:rPr>
                <w:b/>
                <w:bCs/>
                <w:color w:val="1F3A6E"/>
              </w:rPr>
              <w:t>Mode of Training</w:t>
            </w:r>
          </w:p>
        </w:tc>
        <w:tc>
          <w:tcPr>
            <w:tcW w:w="65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E6776EE" w14:textId="77777777" w:rsidR="00C319E7" w:rsidRDefault="00C319E7" w:rsidP="0015110F">
            <w:r>
              <w:t>Practical &amp; Hands- On (80%) + Theory (20%)</w:t>
            </w:r>
          </w:p>
        </w:tc>
      </w:tr>
      <w:tr w:rsidR="00C319E7" w14:paraId="51B38A8D" w14:textId="77777777" w:rsidTr="0015110F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8F0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679C5E1" w14:textId="77777777" w:rsidR="00C319E7" w:rsidRDefault="00C319E7" w:rsidP="0015110F">
            <w:r>
              <w:rPr>
                <w:b/>
                <w:bCs/>
                <w:color w:val="1F3A6E"/>
              </w:rPr>
              <w:t>Delivery Options</w:t>
            </w:r>
          </w:p>
        </w:tc>
        <w:tc>
          <w:tcPr>
            <w:tcW w:w="65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8A94B1E" w14:textId="77777777" w:rsidR="00C319E7" w:rsidRDefault="00C319E7" w:rsidP="0015110F">
            <w:r>
              <w:t>Offline | Hybrid | Online</w:t>
            </w:r>
          </w:p>
        </w:tc>
      </w:tr>
      <w:tr w:rsidR="00C319E7" w14:paraId="658AB6AD" w14:textId="77777777" w:rsidTr="0015110F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8F0FB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FD71617" w14:textId="77777777" w:rsidR="00C319E7" w:rsidRDefault="00C319E7" w:rsidP="0015110F">
            <w:r>
              <w:rPr>
                <w:b/>
                <w:bCs/>
                <w:color w:val="1F3A6E"/>
              </w:rPr>
              <w:t>Certification</w:t>
            </w:r>
          </w:p>
        </w:tc>
        <w:tc>
          <w:tcPr>
            <w:tcW w:w="65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9776C83" w14:textId="68E1099A" w:rsidR="00C319E7" w:rsidRDefault="00C319E7" w:rsidP="0015110F">
            <w:r>
              <w:t xml:space="preserve">CMIT Course Completion Certificate + SAP Certification Guidance </w:t>
            </w:r>
          </w:p>
        </w:tc>
      </w:tr>
      <w:bookmarkEnd w:id="1"/>
    </w:tbl>
    <w:p w14:paraId="5197C60A" w14:textId="77777777" w:rsidR="00C319E7" w:rsidRDefault="00C319E7" w:rsidP="00C319E7">
      <w:pPr>
        <w:pStyle w:val="ListBullet"/>
        <w:numPr>
          <w:ilvl w:val="0"/>
          <w:numId w:val="0"/>
        </w:numPr>
        <w:spacing w:after="60"/>
        <w:ind w:left="360" w:hanging="360"/>
      </w:pPr>
    </w:p>
    <w:sectPr w:rsidR="00C319E7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00CB" w14:textId="77777777" w:rsidR="00F73870" w:rsidRDefault="00F73870" w:rsidP="00C319E7">
      <w:pPr>
        <w:spacing w:after="0" w:line="240" w:lineRule="auto"/>
      </w:pPr>
      <w:r>
        <w:separator/>
      </w:r>
    </w:p>
  </w:endnote>
  <w:endnote w:type="continuationSeparator" w:id="0">
    <w:p w14:paraId="7E47A3A0" w14:textId="77777777" w:rsidR="00F73870" w:rsidRDefault="00F73870" w:rsidP="00C3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1A22" w14:textId="77777777" w:rsidR="00C319E7" w:rsidRPr="007D2AC4" w:rsidRDefault="00C319E7" w:rsidP="00C319E7">
    <w:pPr>
      <w:pBdr>
        <w:top w:val="single" w:sz="4" w:space="6" w:color="2E75B6"/>
      </w:pBdr>
      <w:jc w:val="center"/>
      <w:rPr>
        <w:rFonts w:cstheme="minorHAnsi"/>
        <w:b/>
        <w:bCs/>
        <w:sz w:val="24"/>
        <w:szCs w:val="24"/>
      </w:rPr>
    </w:pPr>
    <w:r w:rsidRPr="007D2AC4">
      <w:rPr>
        <w:rFonts w:cstheme="minorHAnsi"/>
        <w:b/>
        <w:bCs/>
        <w:color w:val="666666"/>
      </w:rPr>
      <w:t xml:space="preserve">© CMIT Computer Institute | </w:t>
    </w:r>
    <w:r>
      <w:rPr>
        <w:rFonts w:cstheme="minorHAnsi"/>
        <w:b/>
        <w:bCs/>
        <w:color w:val="666666"/>
      </w:rPr>
      <w:t>www.cmitindia.in</w:t>
    </w:r>
    <w:r w:rsidRPr="007D2AC4">
      <w:rPr>
        <w:rFonts w:cstheme="minorHAnsi"/>
        <w:b/>
        <w:bCs/>
        <w:color w:val="666666"/>
      </w:rPr>
      <w:t xml:space="preserve"> |   Page </w:t>
    </w:r>
    <w:r w:rsidRPr="007D2AC4">
      <w:rPr>
        <w:rFonts w:cstheme="minorHAnsi"/>
        <w:b/>
        <w:bCs/>
        <w:color w:val="666666"/>
      </w:rPr>
      <w:fldChar w:fldCharType="begin"/>
    </w:r>
    <w:r w:rsidRPr="007D2AC4">
      <w:rPr>
        <w:rFonts w:cstheme="minorHAnsi"/>
        <w:b/>
        <w:bCs/>
        <w:color w:val="666666"/>
      </w:rPr>
      <w:instrText>PAGE</w:instrText>
    </w:r>
    <w:r w:rsidRPr="007D2AC4">
      <w:rPr>
        <w:rFonts w:cstheme="minorHAnsi"/>
        <w:b/>
        <w:bCs/>
        <w:color w:val="666666"/>
      </w:rPr>
      <w:fldChar w:fldCharType="separate"/>
    </w:r>
    <w:r>
      <w:rPr>
        <w:rFonts w:cstheme="minorHAnsi"/>
        <w:b/>
        <w:bCs/>
        <w:color w:val="666666"/>
      </w:rPr>
      <w:t>1</w:t>
    </w:r>
    <w:r w:rsidRPr="007D2AC4">
      <w:rPr>
        <w:rFonts w:cstheme="minorHAnsi"/>
        <w:b/>
        <w:bCs/>
        <w:color w:val="666666"/>
      </w:rPr>
      <w:fldChar w:fldCharType="end"/>
    </w:r>
  </w:p>
  <w:p w14:paraId="715699D2" w14:textId="77777777" w:rsidR="00C319E7" w:rsidRPr="00C319E7" w:rsidRDefault="00C319E7" w:rsidP="00C319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D810A" w14:textId="77777777" w:rsidR="00F73870" w:rsidRDefault="00F73870" w:rsidP="00C319E7">
      <w:pPr>
        <w:spacing w:after="0" w:line="240" w:lineRule="auto"/>
      </w:pPr>
      <w:r>
        <w:separator/>
      </w:r>
    </w:p>
  </w:footnote>
  <w:footnote w:type="continuationSeparator" w:id="0">
    <w:p w14:paraId="4B777392" w14:textId="77777777" w:rsidR="00F73870" w:rsidRDefault="00F73870" w:rsidP="00C31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2246775">
    <w:abstractNumId w:val="8"/>
  </w:num>
  <w:num w:numId="2" w16cid:durableId="1849831845">
    <w:abstractNumId w:val="6"/>
  </w:num>
  <w:num w:numId="3" w16cid:durableId="845826965">
    <w:abstractNumId w:val="5"/>
  </w:num>
  <w:num w:numId="4" w16cid:durableId="784468072">
    <w:abstractNumId w:val="4"/>
  </w:num>
  <w:num w:numId="5" w16cid:durableId="2053532416">
    <w:abstractNumId w:val="7"/>
  </w:num>
  <w:num w:numId="6" w16cid:durableId="41443867">
    <w:abstractNumId w:val="3"/>
  </w:num>
  <w:num w:numId="7" w16cid:durableId="722944625">
    <w:abstractNumId w:val="2"/>
  </w:num>
  <w:num w:numId="8" w16cid:durableId="1016885655">
    <w:abstractNumId w:val="1"/>
  </w:num>
  <w:num w:numId="9" w16cid:durableId="195023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366"/>
    <w:rsid w:val="00034616"/>
    <w:rsid w:val="00040C7E"/>
    <w:rsid w:val="0006063C"/>
    <w:rsid w:val="0015074B"/>
    <w:rsid w:val="0029639D"/>
    <w:rsid w:val="00326F90"/>
    <w:rsid w:val="0039081E"/>
    <w:rsid w:val="003F1265"/>
    <w:rsid w:val="005835FF"/>
    <w:rsid w:val="006E7D1E"/>
    <w:rsid w:val="009C1470"/>
    <w:rsid w:val="00AA1D8D"/>
    <w:rsid w:val="00B47730"/>
    <w:rsid w:val="00C319E7"/>
    <w:rsid w:val="00C62EC0"/>
    <w:rsid w:val="00CB0664"/>
    <w:rsid w:val="00DF5CF7"/>
    <w:rsid w:val="00F738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51D61"/>
  <w14:defaultImageDpi w14:val="300"/>
  <w15:docId w15:val="{9986EF18-85CE-454F-B3ED-98344C83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Kapil Gesota</cp:lastModifiedBy>
  <cp:revision>6</cp:revision>
  <dcterms:created xsi:type="dcterms:W3CDTF">2026-06-22T05:30:00Z</dcterms:created>
  <dcterms:modified xsi:type="dcterms:W3CDTF">2026-11-02T10:40:00Z</dcterms:modified>
  <cp:category/>
</cp:coreProperties>
</file>